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76A8" w:rsidRDefault="00FE6686">
      <w:r>
        <w:t xml:space="preserve">Culture result </w:t>
      </w:r>
    </w:p>
    <w:p w:rsidR="00FE6686" w:rsidRDefault="00FE6686">
      <w:r>
        <w:t xml:space="preserve">ESBL in urine positive </w:t>
      </w:r>
    </w:p>
    <w:p w:rsidR="00FE6686" w:rsidRDefault="00FE6686">
      <w:r>
        <w:t xml:space="preserve">Sensitive to imipenem </w:t>
      </w:r>
    </w:p>
    <w:sectPr w:rsidR="00FE6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86"/>
    <w:rsid w:val="00354508"/>
    <w:rsid w:val="00774919"/>
    <w:rsid w:val="008176A8"/>
    <w:rsid w:val="00DE41C2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E6B9"/>
  <w15:chartTrackingRefBased/>
  <w15:docId w15:val="{F8E72D62-A672-4F8A-BBC4-10C44194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Al Nahhass</dc:creator>
  <cp:keywords/>
  <dc:description/>
  <cp:lastModifiedBy>Hassan Al Nahhass</cp:lastModifiedBy>
  <cp:revision>1</cp:revision>
  <dcterms:created xsi:type="dcterms:W3CDTF">2024-10-28T11:50:00Z</dcterms:created>
  <dcterms:modified xsi:type="dcterms:W3CDTF">2024-10-28T11:51:00Z</dcterms:modified>
</cp:coreProperties>
</file>